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43A0ED17"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AD4834">
        <w:rPr>
          <w:rFonts w:ascii="Arial Black" w:hAnsi="Arial Black" w:cs="Arial"/>
          <w:b/>
          <w:sz w:val="40"/>
          <w:szCs w:val="40"/>
        </w:rPr>
        <w:t>E</w:t>
      </w:r>
      <w:r w:rsidRPr="00A94E8E">
        <w:rPr>
          <w:rFonts w:ascii="Arial Black" w:hAnsi="Arial Black" w:cs="Arial"/>
          <w:b/>
          <w:sz w:val="40"/>
          <w:szCs w:val="40"/>
        </w:rPr>
        <w:t>)</w:t>
      </w:r>
    </w:p>
    <w:p w14:paraId="3F200062" w14:textId="77777777" w:rsidR="00AD4834" w:rsidRPr="00D31128" w:rsidRDefault="00AD4834" w:rsidP="00AD4834">
      <w:pPr>
        <w:spacing w:after="0" w:line="240" w:lineRule="auto"/>
        <w:jc w:val="center"/>
        <w:rPr>
          <w:rFonts w:ascii="Arial Black" w:hAnsi="Arial Black" w:cs="Arial"/>
          <w:b/>
          <w:sz w:val="40"/>
          <w:szCs w:val="40"/>
        </w:rPr>
      </w:pPr>
      <w:r w:rsidRPr="00C66EC2">
        <w:rPr>
          <w:rFonts w:ascii="Arial Black" w:hAnsi="Arial Black" w:cs="Arial"/>
          <w:b/>
          <w:sz w:val="40"/>
          <w:szCs w:val="40"/>
        </w:rPr>
        <w:t>SULFÁTOVÝ PAPÍR A LEPENKA</w:t>
      </w:r>
    </w:p>
    <w:p w14:paraId="008E233E" w14:textId="77777777" w:rsidR="00C4323F" w:rsidRPr="00655D58" w:rsidRDefault="00C4323F" w:rsidP="00C4323F">
      <w:pPr>
        <w:spacing w:after="0"/>
        <w:jc w:val="center"/>
        <w:rPr>
          <w:rFonts w:ascii="Arial" w:hAnsi="Arial" w:cs="Arial"/>
          <w:sz w:val="12"/>
        </w:rPr>
      </w:pPr>
    </w:p>
    <w:p w14:paraId="67EAC0E9" w14:textId="1C63EEC1"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pod č. </w:t>
      </w:r>
      <w:r w:rsidR="00925BB1" w:rsidRPr="008E149B">
        <w:rPr>
          <w:rFonts w:ascii="Arial" w:hAnsi="Arial" w:cs="Arial"/>
          <w:b/>
        </w:rPr>
        <w:t>04</w:t>
      </w:r>
      <w:r w:rsidR="00AD4834" w:rsidRPr="008E149B">
        <w:rPr>
          <w:rFonts w:ascii="Arial" w:hAnsi="Arial" w:cs="Arial"/>
          <w:b/>
        </w:rPr>
        <w:t>6</w:t>
      </w:r>
      <w:r w:rsidR="00925BB1" w:rsidRPr="008E149B">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503F497D" w:rsidR="00C4323F" w:rsidRDefault="00C4323F" w:rsidP="00C4323F">
      <w:pPr>
        <w:spacing w:after="0"/>
        <w:jc w:val="center"/>
        <w:rPr>
          <w:rFonts w:ascii="Arial" w:hAnsi="Arial" w:cs="Arial"/>
          <w:i/>
        </w:rPr>
      </w:pPr>
      <w:r w:rsidRPr="001862BD">
        <w:rPr>
          <w:rFonts w:ascii="Arial" w:hAnsi="Arial" w:cs="Arial"/>
          <w:b/>
        </w:rPr>
        <w:t>v souladu s</w:t>
      </w:r>
      <w:r w:rsidR="001E207D">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570E2A44" w14:textId="1505158B"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zjednodušeného podlimitního řízení na veřejnou zakázku</w:t>
      </w:r>
      <w:r w:rsidRPr="00BD3D7B">
        <w:rPr>
          <w:rFonts w:ascii="Arial" w:hAnsi="Arial" w:cs="Arial"/>
        </w:rPr>
        <w:t xml:space="preserve"> </w:t>
      </w:r>
      <w:r>
        <w:rPr>
          <w:rFonts w:ascii="Arial" w:hAnsi="Arial" w:cs="Arial"/>
        </w:rPr>
        <w:t xml:space="preserve">ve smyslu ustanovení § 53 ZZVZ </w:t>
      </w:r>
      <w:r w:rsidRPr="00D973C2">
        <w:rPr>
          <w:rFonts w:ascii="Arial" w:hAnsi="Arial" w:cs="Arial"/>
        </w:rPr>
        <w:t>s </w:t>
      </w:r>
      <w:r w:rsidRPr="008E149B">
        <w:rPr>
          <w:rFonts w:ascii="Arial" w:hAnsi="Arial" w:cs="Arial"/>
        </w:rPr>
        <w:t>názvem „</w:t>
      </w:r>
      <w:r w:rsidRPr="008E149B">
        <w:rPr>
          <w:rFonts w:ascii="Arial" w:hAnsi="Arial" w:cs="Arial"/>
          <w:b/>
          <w:i/>
        </w:rPr>
        <w:t xml:space="preserve">Dodávky </w:t>
      </w:r>
      <w:r w:rsidRPr="008E149B">
        <w:rPr>
          <w:rFonts w:ascii="Arial" w:hAnsi="Arial" w:cs="Arial"/>
          <w:b/>
          <w:i/>
        </w:rPr>
        <w:lastRenderedPageBreak/>
        <w:t xml:space="preserve">ofsetového papíru, lepenky a </w:t>
      </w:r>
      <w:r w:rsidR="004D2548" w:rsidRPr="008E149B">
        <w:rPr>
          <w:rFonts w:ascii="Arial" w:hAnsi="Arial" w:cs="Arial"/>
          <w:b/>
          <w:i/>
        </w:rPr>
        <w:t>xerografického papíru</w:t>
      </w:r>
      <w:r w:rsidR="002F5CFA" w:rsidRPr="008E149B">
        <w:rPr>
          <w:rFonts w:ascii="Arial" w:hAnsi="Arial" w:cs="Arial"/>
          <w:b/>
          <w:bCs/>
          <w:i/>
        </w:rPr>
        <w:t xml:space="preserve"> </w:t>
      </w:r>
      <w:r w:rsidRPr="008E149B">
        <w:rPr>
          <w:rFonts w:ascii="Arial" w:hAnsi="Arial" w:cs="Arial"/>
          <w:b/>
          <w:i/>
        </w:rPr>
        <w:t xml:space="preserve">– část </w:t>
      </w:r>
      <w:r w:rsidR="0010087B">
        <w:rPr>
          <w:rFonts w:ascii="Arial" w:hAnsi="Arial" w:cs="Arial"/>
          <w:b/>
          <w:i/>
        </w:rPr>
        <w:t>E</w:t>
      </w:r>
      <w:r w:rsidRPr="008E149B">
        <w:rPr>
          <w:rFonts w:ascii="Arial" w:hAnsi="Arial" w:cs="Arial"/>
          <w:b/>
          <w:i/>
        </w:rPr>
        <w:t xml:space="preserve">): </w:t>
      </w:r>
      <w:r w:rsidR="00AD4834" w:rsidRPr="008E149B">
        <w:rPr>
          <w:rFonts w:ascii="Arial" w:hAnsi="Arial" w:cs="Arial"/>
          <w:b/>
          <w:i/>
        </w:rPr>
        <w:t>Sulfátový papír a lepenka</w:t>
      </w:r>
      <w:r w:rsidRPr="008E149B">
        <w:rPr>
          <w:rFonts w:ascii="Arial" w:hAnsi="Arial" w:cs="Arial"/>
          <w:i/>
        </w:rPr>
        <w:t>“</w:t>
      </w:r>
      <w:r w:rsidRPr="008E149B">
        <w:rPr>
          <w:rFonts w:ascii="Arial" w:hAnsi="Arial" w:cs="Arial"/>
        </w:rPr>
        <w:t xml:space="preserve"> (dále jen „</w:t>
      </w:r>
      <w:r w:rsidRPr="008E149B">
        <w:rPr>
          <w:rFonts w:ascii="Arial" w:hAnsi="Arial" w:cs="Arial"/>
          <w:b/>
        </w:rPr>
        <w:t>z</w:t>
      </w:r>
      <w:r w:rsidRPr="004C6A51">
        <w:rPr>
          <w:rFonts w:ascii="Arial" w:hAnsi="Arial" w:cs="Arial"/>
          <w:b/>
        </w:rPr>
        <w:t>adávací řízení</w:t>
      </w:r>
      <w:r w:rsidRPr="004C6A51">
        <w:rPr>
          <w:rFonts w:ascii="Arial" w:hAnsi="Arial" w:cs="Arial"/>
        </w:rPr>
        <w:t>“),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6A762D">
        <w:rPr>
          <w:rFonts w:ascii="Arial" w:hAnsi="Arial" w:cs="Arial"/>
        </w:rPr>
        <w:t>byla vybrána jako ekonomicky nejvýhodnější</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0E39ABC1"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w:t>
      </w:r>
      <w:r w:rsidRPr="008E149B">
        <w:rPr>
          <w:rFonts w:ascii="Arial" w:hAnsi="Arial" w:cs="Arial"/>
        </w:rPr>
        <w:t xml:space="preserve">hody </w:t>
      </w:r>
      <w:r w:rsidRPr="008E149B">
        <w:rPr>
          <w:rFonts w:ascii="Arial" w:eastAsia="Times New Roman" w:hAnsi="Arial" w:cs="Arial"/>
        </w:rPr>
        <w:t xml:space="preserve">je závazek prodávajícího </w:t>
      </w:r>
      <w:r w:rsidRPr="008E149B">
        <w:rPr>
          <w:rFonts w:ascii="Arial" w:eastAsia="Times New Roman" w:hAnsi="Arial" w:cs="Arial"/>
          <w:b/>
        </w:rPr>
        <w:t xml:space="preserve">dodat </w:t>
      </w:r>
      <w:r w:rsidR="006574B3" w:rsidRPr="008E149B">
        <w:rPr>
          <w:rFonts w:ascii="Arial" w:hAnsi="Arial" w:cs="Arial"/>
          <w:b/>
        </w:rPr>
        <w:t xml:space="preserve">kupujícímu </w:t>
      </w:r>
      <w:r w:rsidR="00B56DC3" w:rsidRPr="008E149B">
        <w:rPr>
          <w:rFonts w:ascii="Arial" w:hAnsi="Arial" w:cs="Arial"/>
          <w:b/>
        </w:rPr>
        <w:t>balicí sulfátový papír a lepenky</w:t>
      </w:r>
      <w:r w:rsidRPr="008E149B">
        <w:rPr>
          <w:rFonts w:ascii="Arial" w:eastAsia="Times New Roman" w:hAnsi="Arial" w:cs="Arial"/>
          <w:b/>
        </w:rPr>
        <w:t xml:space="preserve"> </w:t>
      </w:r>
      <w:r w:rsidRPr="008E149B">
        <w:rPr>
          <w:rFonts w:ascii="Arial" w:eastAsia="Times New Roman" w:hAnsi="Arial" w:cs="Arial"/>
          <w:color w:val="000000"/>
        </w:rPr>
        <w:t>(d</w:t>
      </w:r>
      <w:r w:rsidRPr="004C6A51">
        <w:rPr>
          <w:rFonts w:ascii="Arial" w:eastAsia="Times New Roman" w:hAnsi="Arial" w:cs="Arial"/>
          <w:color w:val="000000"/>
        </w:rPr>
        <w:t>ále jen „</w:t>
      </w:r>
      <w:r w:rsidRPr="004C6A51">
        <w:rPr>
          <w:rFonts w:ascii="Arial" w:eastAsia="Times New Roman" w:hAnsi="Arial" w:cs="Arial"/>
          <w:b/>
          <w:color w:val="000000"/>
        </w:rPr>
        <w:t>zboží</w:t>
      </w:r>
      <w:r w:rsidRPr="004C6A51">
        <w:rPr>
          <w:rFonts w:ascii="Arial" w:eastAsia="Times New Roman" w:hAnsi="Arial" w:cs="Arial"/>
          <w:color w:val="000000"/>
        </w:rPr>
        <w:t>“) uvedený v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lastRenderedPageBreak/>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732AFBD7" w:rsidR="00C4323F" w:rsidRPr="004C6A51"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povinen dodat kupují</w:t>
      </w:r>
      <w:r w:rsidRPr="008E149B">
        <w:rPr>
          <w:rFonts w:ascii="Arial" w:hAnsi="Arial" w:cs="Arial"/>
        </w:rPr>
        <w:t xml:space="preserve">címu zboží </w:t>
      </w:r>
      <w:r w:rsidRPr="008E149B">
        <w:rPr>
          <w:rFonts w:ascii="Arial" w:hAnsi="Arial" w:cs="Arial"/>
          <w:b/>
        </w:rPr>
        <w:t xml:space="preserve">do </w:t>
      </w:r>
      <w:r w:rsidR="006574B3" w:rsidRPr="008E149B">
        <w:rPr>
          <w:rFonts w:ascii="Arial" w:hAnsi="Arial" w:cs="Arial"/>
          <w:b/>
        </w:rPr>
        <w:t>3</w:t>
      </w:r>
      <w:r w:rsidRPr="008E149B">
        <w:rPr>
          <w:rFonts w:ascii="Arial" w:hAnsi="Arial" w:cs="Arial"/>
          <w:b/>
        </w:rPr>
        <w:t xml:space="preserve"> kalendářních týdnů, a to ode dne doručení objednávky prodávajícímu.</w:t>
      </w:r>
      <w:r w:rsidRPr="004C6A51">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8E149B"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Místem plnění jsou </w:t>
      </w:r>
      <w:r w:rsidRPr="008E149B">
        <w:rPr>
          <w:rFonts w:ascii="Arial" w:hAnsi="Arial" w:cs="Arial"/>
        </w:rPr>
        <w:t>výrobní závody kupujícího na adresách:</w:t>
      </w:r>
    </w:p>
    <w:p w14:paraId="641954F9" w14:textId="77777777" w:rsidR="00C4323F" w:rsidRPr="008E149B" w:rsidRDefault="00C4323F" w:rsidP="00C4323F">
      <w:pPr>
        <w:pStyle w:val="Odstavecseseznamem"/>
        <w:numPr>
          <w:ilvl w:val="0"/>
          <w:numId w:val="11"/>
        </w:numPr>
        <w:spacing w:after="120"/>
        <w:ind w:left="851" w:hanging="284"/>
        <w:contextualSpacing w:val="0"/>
        <w:jc w:val="both"/>
        <w:rPr>
          <w:rFonts w:ascii="Arial" w:hAnsi="Arial" w:cs="Arial"/>
        </w:rPr>
      </w:pPr>
      <w:r w:rsidRPr="008E149B">
        <w:rPr>
          <w:rFonts w:ascii="Arial" w:hAnsi="Arial" w:cs="Arial"/>
          <w:b/>
        </w:rPr>
        <w:t>Výrobní závod I – Růžová 6, čp. 943, 110 00 Praha 1</w:t>
      </w:r>
      <w:r w:rsidRPr="008E149B">
        <w:rPr>
          <w:rFonts w:ascii="Arial" w:hAnsi="Arial" w:cs="Arial"/>
        </w:rPr>
        <w:t xml:space="preserve">, </w:t>
      </w:r>
    </w:p>
    <w:p w14:paraId="3ADDCFA4" w14:textId="77777777" w:rsidR="00C4323F" w:rsidRPr="008E149B" w:rsidRDefault="00C4323F" w:rsidP="00C4323F">
      <w:pPr>
        <w:pStyle w:val="Odstavecseseznamem"/>
        <w:spacing w:after="120"/>
        <w:ind w:left="851"/>
        <w:contextualSpacing w:val="0"/>
        <w:jc w:val="both"/>
        <w:rPr>
          <w:rFonts w:ascii="Arial" w:hAnsi="Arial" w:cs="Arial"/>
        </w:rPr>
      </w:pPr>
      <w:r w:rsidRPr="008E149B">
        <w:rPr>
          <w:rFonts w:ascii="Arial" w:hAnsi="Arial" w:cs="Arial"/>
        </w:rPr>
        <w:t>a</w:t>
      </w:r>
    </w:p>
    <w:p w14:paraId="6A7391BB" w14:textId="77777777" w:rsidR="00C4323F" w:rsidRPr="008E149B" w:rsidRDefault="00C4323F" w:rsidP="00C4323F">
      <w:pPr>
        <w:pStyle w:val="Odstavecseseznamem"/>
        <w:numPr>
          <w:ilvl w:val="0"/>
          <w:numId w:val="11"/>
        </w:numPr>
        <w:spacing w:after="120"/>
        <w:ind w:left="851" w:hanging="284"/>
        <w:contextualSpacing w:val="0"/>
        <w:jc w:val="both"/>
        <w:rPr>
          <w:rFonts w:ascii="Arial" w:hAnsi="Arial" w:cs="Arial"/>
        </w:rPr>
      </w:pPr>
      <w:r w:rsidRPr="008E149B">
        <w:rPr>
          <w:rFonts w:ascii="Arial" w:hAnsi="Arial" w:cs="Arial"/>
          <w:b/>
        </w:rPr>
        <w:t>Výrobní závod III – Na Vápence 14/ 915, 130 00 Praha 3</w:t>
      </w:r>
      <w:r w:rsidRPr="008E149B">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 xml:space="preserve">Mimo tuto stanovenou dobu </w:t>
      </w:r>
      <w:r w:rsidRPr="009A0BC8">
        <w:rPr>
          <w:rFonts w:ascii="Arial" w:hAnsi="Arial" w:cs="Arial"/>
        </w:rPr>
        <w:lastRenderedPageBreak/>
        <w:t>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7F184032"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EF74E1">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6E17C77B"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1E207D">
        <w:rPr>
          <w:rFonts w:cs="Arial"/>
          <w:szCs w:val="22"/>
        </w:rPr>
        <w:t>7</w:t>
      </w:r>
      <w:r w:rsidR="001E207D" w:rsidRPr="00BC14EE">
        <w:rPr>
          <w:rFonts w:cs="Arial"/>
          <w:szCs w:val="22"/>
        </w:rPr>
        <w:t>.</w:t>
      </w:r>
      <w:r w:rsidR="001E207D">
        <w:rPr>
          <w:rFonts w:cs="Arial"/>
          <w:szCs w:val="22"/>
        </w:rPr>
        <w:t>7</w:t>
      </w:r>
      <w:r w:rsidR="001E207D" w:rsidRPr="00BC14EE">
        <w:rPr>
          <w:rFonts w:cs="Arial"/>
          <w:szCs w:val="22"/>
        </w:rPr>
        <w:t xml:space="preserve"> </w:t>
      </w:r>
      <w:r w:rsidR="001E207D">
        <w:rPr>
          <w:rFonts w:cs="Arial"/>
          <w:szCs w:val="22"/>
        </w:rPr>
        <w:t>z</w:t>
      </w:r>
      <w:r w:rsidR="001E207D" w:rsidRPr="00BC14EE">
        <w:rPr>
          <w:rFonts w:cs="Arial"/>
          <w:szCs w:val="22"/>
        </w:rPr>
        <w:t xml:space="preserve">adávací dokumentace </w:t>
      </w:r>
      <w:r w:rsidR="001E207D">
        <w:rPr>
          <w:rFonts w:cs="Arial"/>
          <w:szCs w:val="22"/>
        </w:rPr>
        <w:t>k zadávacímu řízení</w:t>
      </w:r>
      <w:r w:rsidRPr="00BC14EE">
        <w:rPr>
          <w:rFonts w:cs="Arial"/>
          <w:szCs w:val="22"/>
        </w:rPr>
        <w:t xml:space="preserve"> a za podmínek tam uvedených,</w:t>
      </w:r>
    </w:p>
    <w:p w14:paraId="4FA4F78C" w14:textId="15EEBD86"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B77151">
        <w:rPr>
          <w:rFonts w:cs="Arial"/>
          <w:szCs w:val="22"/>
        </w:rPr>
        <w:t>je prodávající povinen oznámit takovou změnu bez zbytečného odkladu kupujícímu, nejpozději však do 3 pracovních dnů od takové změny</w:t>
      </w:r>
      <w:r w:rsidR="00B77151" w:rsidRPr="00B77151">
        <w:rPr>
          <w:rFonts w:cs="Arial"/>
          <w:szCs w:val="22"/>
        </w:rPr>
        <w:t>.</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5383DC39"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1E207D">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1E207D">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lastRenderedPageBreak/>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30A8C323"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části</w:t>
      </w:r>
      <w:r w:rsidR="004D2548">
        <w:rPr>
          <w:rFonts w:ascii="Arial" w:hAnsi="Arial" w:cs="Arial"/>
        </w:rPr>
        <w:t xml:space="preserve"> </w:t>
      </w:r>
      <w:r w:rsidR="00B56DC3" w:rsidRPr="008E149B">
        <w:rPr>
          <w:rFonts w:ascii="Arial" w:hAnsi="Arial" w:cs="Arial"/>
        </w:rPr>
        <w:t>E</w:t>
      </w:r>
      <w:r w:rsidR="004D2548" w:rsidRPr="008E149B">
        <w:rPr>
          <w:rFonts w:ascii="Arial" w:hAnsi="Arial" w:cs="Arial"/>
        </w:rPr>
        <w:t xml:space="preserve"> v příl</w:t>
      </w:r>
      <w:r w:rsidR="004D2548">
        <w:rPr>
          <w:rFonts w:ascii="Arial" w:hAnsi="Arial" w:cs="Arial"/>
        </w:rPr>
        <w:t>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80"/>
        <w:gridCol w:w="5598"/>
      </w:tblGrid>
      <w:tr w:rsidR="004D2548" w:rsidRPr="004D2548" w14:paraId="40D7AFBC"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321FAC17" w:rsidR="004D2548" w:rsidRPr="00925BB1" w:rsidRDefault="004D2548" w:rsidP="00925BB1">
            <w:pPr>
              <w:spacing w:after="120"/>
              <w:jc w:val="both"/>
              <w:rPr>
                <w:rFonts w:ascii="Arial" w:hAnsi="Arial" w:cs="Arial"/>
              </w:rPr>
            </w:pPr>
            <w:r w:rsidRPr="00925BB1">
              <w:rPr>
                <w:rFonts w:ascii="Arial" w:hAnsi="Arial" w:cs="Arial"/>
              </w:rPr>
              <w:t>nová cena za papír</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5481536F" w:rsidR="004D2548" w:rsidRPr="00925BB1" w:rsidRDefault="004D2548" w:rsidP="00925BB1">
            <w:pPr>
              <w:spacing w:after="120"/>
              <w:jc w:val="both"/>
              <w:rPr>
                <w:rFonts w:ascii="Arial" w:hAnsi="Arial" w:cs="Arial"/>
              </w:rPr>
            </w:pPr>
            <w:r w:rsidRPr="00925BB1">
              <w:rPr>
                <w:rFonts w:ascii="Arial" w:hAnsi="Arial" w:cs="Arial"/>
              </w:rPr>
              <w:t xml:space="preserve">cena za papír </w:t>
            </w:r>
            <w:r w:rsidR="00B77151">
              <w:rPr>
                <w:rFonts w:ascii="Arial" w:hAnsi="Arial" w:cs="Arial"/>
              </w:rPr>
              <w:t>k</w:t>
            </w:r>
            <w:r w:rsidRPr="00925BB1">
              <w:rPr>
                <w:rFonts w:ascii="Arial" w:hAnsi="Arial" w:cs="Arial"/>
              </w:rPr>
              <w:t>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006AB12E"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6A762D">
        <w:rPr>
          <w:rFonts w:ascii="Arial" w:hAnsi="Arial" w:cs="Arial"/>
          <w:color w:val="000000"/>
        </w:rPr>
        <w:t>1</w:t>
      </w:r>
      <w:r w:rsidRPr="00680E35">
        <w:rPr>
          <w:rFonts w:ascii="Arial" w:hAnsi="Arial" w:cs="Arial"/>
          <w:color w:val="000000"/>
        </w:rPr>
        <w:t xml:space="preserve"> tohoto článku).</w:t>
      </w:r>
    </w:p>
    <w:p w14:paraId="60408B53" w14:textId="076AED4E"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r w:rsidR="00B77151" w:rsidRPr="0020005F">
        <w:rPr>
          <w:rFonts w:ascii="Arial" w:hAnsi="Arial" w:cs="Arial"/>
        </w:rPr>
        <w:t xml:space="preserve"> </w:t>
      </w:r>
      <w:r w:rsidR="00B77151">
        <w:rPr>
          <w:rFonts w:ascii="Arial" w:hAnsi="Arial" w:cs="Arial"/>
        </w:rPr>
        <w:t>s právem kupujícího odstoupit od této Rámcové dohody za podmínek uvedených v</w:t>
      </w:r>
      <w:r w:rsidR="00B77151" w:rsidRPr="000A43AE">
        <w:rPr>
          <w:rFonts w:ascii="Arial" w:hAnsi="Arial" w:cs="Arial"/>
        </w:rPr>
        <w:t xml:space="preserve"> čl. XIII odst. </w:t>
      </w:r>
      <w:r w:rsidR="00B77151">
        <w:rPr>
          <w:rFonts w:ascii="Arial" w:hAnsi="Arial" w:cs="Arial"/>
        </w:rPr>
        <w:t>6</w:t>
      </w:r>
      <w:r w:rsidR="00B77151" w:rsidRPr="000A43AE">
        <w:rPr>
          <w:rFonts w:ascii="Arial" w:hAnsi="Arial" w:cs="Arial"/>
        </w:rPr>
        <w:t xml:space="preserve"> této Rámcové dohody</w:t>
      </w:r>
      <w:r w:rsidRPr="00070A44">
        <w:rPr>
          <w:rFonts w:ascii="Arial" w:hAnsi="Arial" w:cs="Arial"/>
          <w:spacing w:val="-7"/>
        </w:rPr>
        <w:t xml:space="preserve">. </w:t>
      </w:r>
    </w:p>
    <w:bookmarkEnd w:id="0"/>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w:t>
      </w:r>
      <w:r w:rsidRPr="00680E35">
        <w:rPr>
          <w:rFonts w:ascii="Arial" w:hAnsi="Arial" w:cs="Arial"/>
        </w:rPr>
        <w:lastRenderedPageBreak/>
        <w:t>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lastRenderedPageBreak/>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lastRenderedPageBreak/>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lastRenderedPageBreak/>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210A4FB6"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B77151">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B77151">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xml:space="preserve">. Takové události mohou být kromě dalších případů zejména: </w:t>
      </w:r>
      <w:proofErr w:type="gramStart"/>
      <w:r w:rsidRPr="00474934">
        <w:rPr>
          <w:rFonts w:eastAsiaTheme="minorEastAsia" w:cs="Arial"/>
          <w:szCs w:val="22"/>
        </w:rPr>
        <w:t>živelné</w:t>
      </w:r>
      <w:proofErr w:type="gramEnd"/>
      <w:r w:rsidRPr="00474934">
        <w:rPr>
          <w:rFonts w:eastAsiaTheme="minorEastAsia" w:cs="Arial"/>
          <w:szCs w:val="22"/>
        </w:rPr>
        <w:t xml:space="preserve">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57398473"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2B754CE5"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bookmarkStart w:id="1" w:name="_Hlk77238487"/>
      <w:r w:rsidR="00B77151">
        <w:rPr>
          <w:rFonts w:cs="Arial"/>
          <w:szCs w:val="22"/>
        </w:rPr>
        <w:t>,</w:t>
      </w:r>
      <w:bookmarkStart w:id="2" w:name="_Hlk77238072"/>
      <w:r w:rsidR="00B77151" w:rsidRPr="00473127">
        <w:rPr>
          <w:rFonts w:cs="Arial"/>
          <w:szCs w:val="22"/>
        </w:rPr>
        <w:t xml:space="preserve"> stejně </w:t>
      </w:r>
      <w:r w:rsidR="00B77151">
        <w:rPr>
          <w:rFonts w:cs="Arial"/>
          <w:szCs w:val="22"/>
        </w:rPr>
        <w:t>tak</w:t>
      </w:r>
      <w:r w:rsidR="00B77151" w:rsidRPr="00473127">
        <w:rPr>
          <w:rFonts w:cs="Arial"/>
          <w:szCs w:val="22"/>
        </w:rPr>
        <w:t xml:space="preserve"> tato skutečnost nemá </w:t>
      </w:r>
      <w:r w:rsidR="00B77151" w:rsidRPr="00473127">
        <w:rPr>
          <w:rFonts w:cs="Arial"/>
          <w:szCs w:val="22"/>
        </w:rPr>
        <w:lastRenderedPageBreak/>
        <w:t>vliv na ujednání týkajících se práva na odstoupení od smlouvy dle čl</w:t>
      </w:r>
      <w:r w:rsidR="00B77151">
        <w:rPr>
          <w:rFonts w:cs="Arial"/>
          <w:szCs w:val="22"/>
        </w:rPr>
        <w:t>. XIII odst. 4 této Rámcové dohody</w:t>
      </w:r>
      <w:bookmarkEnd w:id="1"/>
      <w:bookmarkEnd w:id="2"/>
      <w:r w:rsidRPr="009778F1">
        <w:rPr>
          <w:rFonts w:cs="Arial"/>
          <w:szCs w:val="22"/>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77777777"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Pr>
          <w:rFonts w:ascii="Arial" w:hAnsi="Arial" w:cs="Arial"/>
        </w:rPr>
        <w:t>;</w:t>
      </w:r>
    </w:p>
    <w:p w14:paraId="038EE1F3" w14:textId="0EC134A1"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odstoupením od Rámcové dohody za podmínek stanovených touto Rámcovou dohodou</w:t>
      </w:r>
      <w:r w:rsidR="006A762D">
        <w:rPr>
          <w:rFonts w:ascii="Arial" w:hAnsi="Arial" w:cs="Arial"/>
        </w:rPr>
        <w:t>.</w:t>
      </w:r>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2FA40740" w14:textId="77777777" w:rsidR="006A762D"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6A762D">
        <w:rPr>
          <w:rFonts w:ascii="Arial" w:hAnsi="Arial" w:cs="Arial"/>
        </w:rPr>
        <w:t>;</w:t>
      </w:r>
    </w:p>
    <w:p w14:paraId="7773BC5A" w14:textId="08D7D4BD" w:rsidR="00C4323F" w:rsidRPr="001C7427" w:rsidRDefault="006A762D"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t>v další případech stanovených touto Rámcovou dohodu</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lastRenderedPageBreak/>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C4323F">
      <w:pPr>
        <w:pStyle w:val="Prohlen"/>
        <w:widowControl/>
        <w:numPr>
          <w:ilvl w:val="1"/>
          <w:numId w:val="14"/>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3"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3"/>
    </w:p>
    <w:p w14:paraId="06D23982" w14:textId="2DF337F8"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Pr="000B5DF2">
        <w:rPr>
          <w:rFonts w:ascii="Arial" w:hAnsi="Arial" w:cs="Arial"/>
          <w:b w:val="0"/>
          <w:sz w:val="22"/>
          <w:szCs w:val="22"/>
        </w:rPr>
        <w:t xml:space="preserve"> dále prohlašuje, že při plnění této </w:t>
      </w:r>
      <w:r w:rsidR="001E207D">
        <w:rPr>
          <w:rFonts w:ascii="Arial" w:hAnsi="Arial" w:cs="Arial"/>
          <w:b w:val="0"/>
          <w:sz w:val="22"/>
          <w:szCs w:val="22"/>
        </w:rPr>
        <w:t xml:space="preserve">Rámcové dohody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1E207D">
        <w:rPr>
          <w:rFonts w:ascii="Arial" w:hAnsi="Arial" w:cs="Arial"/>
          <w:b w:val="0"/>
          <w:sz w:val="22"/>
          <w:szCs w:val="22"/>
        </w:rPr>
        <w:t xml:space="preserve">Rámcové dohody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lastRenderedPageBreak/>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17F8690F" w14:textId="11D2915E" w:rsidR="000A43AE"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6A762D">
        <w:rPr>
          <w:rFonts w:ascii="Arial" w:hAnsi="Arial" w:cs="Arial"/>
          <w:b w:val="0"/>
          <w:sz w:val="22"/>
          <w:szCs w:val="22"/>
        </w:rPr>
        <w:t>za podmínek uvedených v</w:t>
      </w:r>
      <w:r w:rsidRPr="000A43AE">
        <w:rPr>
          <w:rFonts w:ascii="Arial" w:hAnsi="Arial" w:cs="Arial"/>
          <w:b w:val="0"/>
          <w:sz w:val="22"/>
          <w:szCs w:val="22"/>
        </w:rPr>
        <w:t xml:space="preserve"> čl. XIII odst. </w:t>
      </w:r>
      <w:r w:rsidR="006A762D">
        <w:rPr>
          <w:rFonts w:ascii="Arial" w:hAnsi="Arial" w:cs="Arial"/>
          <w:b w:val="0"/>
          <w:sz w:val="22"/>
          <w:szCs w:val="22"/>
        </w:rPr>
        <w:t>6</w:t>
      </w:r>
      <w:r w:rsidRPr="000A43AE">
        <w:rPr>
          <w:rFonts w:ascii="Arial" w:hAnsi="Arial" w:cs="Arial"/>
          <w:b w:val="0"/>
          <w:sz w:val="22"/>
          <w:szCs w:val="22"/>
        </w:rPr>
        <w:t xml:space="preserve"> této Rámcové dohody.</w:t>
      </w:r>
    </w:p>
    <w:p w14:paraId="3C9D07FE" w14:textId="51F02AD1" w:rsidR="00B77151" w:rsidRPr="00B77151" w:rsidRDefault="00B77151" w:rsidP="00B77151">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4"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bookmarkEnd w:id="4"/>
      <w:r>
        <w:rPr>
          <w:rFonts w:ascii="Arial" w:hAnsi="Arial" w:cs="Arial"/>
          <w:b w:val="0"/>
          <w:sz w:val="22"/>
          <w:szCs w:val="22"/>
        </w:rPr>
        <w:t>.</w:t>
      </w:r>
    </w:p>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C63AA" w14:textId="77777777" w:rsidR="00206172" w:rsidRDefault="00206172" w:rsidP="00B751CE">
      <w:pPr>
        <w:spacing w:after="0" w:line="240" w:lineRule="auto"/>
      </w:pPr>
      <w:r>
        <w:separator/>
      </w:r>
    </w:p>
  </w:endnote>
  <w:endnote w:type="continuationSeparator" w:id="0">
    <w:p w14:paraId="53E3BB1E" w14:textId="77777777" w:rsidR="00206172" w:rsidRDefault="00206172"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5B61ECC7"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860F5E">
          <w:rPr>
            <w:rFonts w:ascii="Arial" w:hAnsi="Arial" w:cs="Arial"/>
            <w:b/>
            <w:bCs/>
            <w:sz w:val="20"/>
            <w:szCs w:val="20"/>
          </w:rPr>
          <w:t>3</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B9167" w14:textId="77777777" w:rsidR="00206172" w:rsidRDefault="00206172" w:rsidP="00B751CE">
      <w:pPr>
        <w:spacing w:after="0" w:line="240" w:lineRule="auto"/>
      </w:pPr>
      <w:r>
        <w:separator/>
      </w:r>
    </w:p>
  </w:footnote>
  <w:footnote w:type="continuationSeparator" w:id="0">
    <w:p w14:paraId="6A5ADFB1" w14:textId="77777777" w:rsidR="00206172" w:rsidRDefault="00206172" w:rsidP="00B7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6EBA75C4"/>
    <w:lvl w:ilvl="0" w:tplc="0405000F">
      <w:start w:val="1"/>
      <w:numFmt w:val="decimal"/>
      <w:lvlText w:val="%1."/>
      <w:lvlJc w:val="left"/>
      <w:pPr>
        <w:ind w:left="1068" w:hanging="360"/>
      </w:pPr>
      <w:rPr>
        <w:rFonts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8"/>
  </w:num>
  <w:num w:numId="12">
    <w:abstractNumId w:val="24"/>
  </w:num>
  <w:num w:numId="13">
    <w:abstractNumId w:val="5"/>
  </w:num>
  <w:num w:numId="14">
    <w:abstractNumId w:val="8"/>
  </w:num>
  <w:num w:numId="15">
    <w:abstractNumId w:val="17"/>
  </w:num>
  <w:num w:numId="16">
    <w:abstractNumId w:val="27"/>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5"/>
  </w:num>
  <w:num w:numId="26">
    <w:abstractNumId w:val="1"/>
  </w:num>
  <w:num w:numId="27">
    <w:abstractNumId w:val="26"/>
  </w:num>
  <w:num w:numId="28">
    <w:abstractNumId w:val="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249DC"/>
    <w:rsid w:val="00070A44"/>
    <w:rsid w:val="00094B7E"/>
    <w:rsid w:val="000A43AE"/>
    <w:rsid w:val="000B3BCD"/>
    <w:rsid w:val="000B5DF2"/>
    <w:rsid w:val="000C0561"/>
    <w:rsid w:val="000C126A"/>
    <w:rsid w:val="0010087B"/>
    <w:rsid w:val="00120B1F"/>
    <w:rsid w:val="001E207D"/>
    <w:rsid w:val="001E4AEF"/>
    <w:rsid w:val="00206172"/>
    <w:rsid w:val="00214279"/>
    <w:rsid w:val="00227710"/>
    <w:rsid w:val="00236757"/>
    <w:rsid w:val="00284C38"/>
    <w:rsid w:val="002F5CFA"/>
    <w:rsid w:val="003B382C"/>
    <w:rsid w:val="003C2EF5"/>
    <w:rsid w:val="003E3C4F"/>
    <w:rsid w:val="00474934"/>
    <w:rsid w:val="004C6A51"/>
    <w:rsid w:val="004D2548"/>
    <w:rsid w:val="00553C74"/>
    <w:rsid w:val="00576B7F"/>
    <w:rsid w:val="00577A9C"/>
    <w:rsid w:val="005831CF"/>
    <w:rsid w:val="005A0E8C"/>
    <w:rsid w:val="005E5D58"/>
    <w:rsid w:val="00633290"/>
    <w:rsid w:val="006574B3"/>
    <w:rsid w:val="00665CE4"/>
    <w:rsid w:val="006A762D"/>
    <w:rsid w:val="006B6361"/>
    <w:rsid w:val="00721914"/>
    <w:rsid w:val="00761847"/>
    <w:rsid w:val="00763D74"/>
    <w:rsid w:val="0078553C"/>
    <w:rsid w:val="007B1A52"/>
    <w:rsid w:val="007D6716"/>
    <w:rsid w:val="00851D1E"/>
    <w:rsid w:val="00860F5E"/>
    <w:rsid w:val="008C0970"/>
    <w:rsid w:val="008D221E"/>
    <w:rsid w:val="008E149B"/>
    <w:rsid w:val="008E7631"/>
    <w:rsid w:val="008F12B6"/>
    <w:rsid w:val="008F57FD"/>
    <w:rsid w:val="00925BB1"/>
    <w:rsid w:val="009460DD"/>
    <w:rsid w:val="0095336C"/>
    <w:rsid w:val="0096094B"/>
    <w:rsid w:val="009752EC"/>
    <w:rsid w:val="00995074"/>
    <w:rsid w:val="009A0CE4"/>
    <w:rsid w:val="00A15FCD"/>
    <w:rsid w:val="00A57224"/>
    <w:rsid w:val="00A8322C"/>
    <w:rsid w:val="00A954DD"/>
    <w:rsid w:val="00AC74E3"/>
    <w:rsid w:val="00AD4834"/>
    <w:rsid w:val="00B200AD"/>
    <w:rsid w:val="00B31263"/>
    <w:rsid w:val="00B3225B"/>
    <w:rsid w:val="00B51BB1"/>
    <w:rsid w:val="00B56DC3"/>
    <w:rsid w:val="00B751CE"/>
    <w:rsid w:val="00B77151"/>
    <w:rsid w:val="00B92B90"/>
    <w:rsid w:val="00BB27AF"/>
    <w:rsid w:val="00C25B8D"/>
    <w:rsid w:val="00C4323F"/>
    <w:rsid w:val="00C7643F"/>
    <w:rsid w:val="00C90A72"/>
    <w:rsid w:val="00CC06E6"/>
    <w:rsid w:val="00CF4373"/>
    <w:rsid w:val="00D60074"/>
    <w:rsid w:val="00D60FC2"/>
    <w:rsid w:val="00D612C2"/>
    <w:rsid w:val="00E31F76"/>
    <w:rsid w:val="00E47C9B"/>
    <w:rsid w:val="00EF74E1"/>
    <w:rsid w:val="00F253B8"/>
    <w:rsid w:val="00F52A76"/>
    <w:rsid w:val="00F63A65"/>
    <w:rsid w:val="00FA531F"/>
    <w:rsid w:val="00FC4D34"/>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STC/006652/ÚSF/2021</CisloJednaci>
    <NazevDokumentu xmlns="b246a3c9-e8b6-4373-bafd-ef843f8c6aef">Rámcová dohoda na dodávku ofsetového papíru - část E)</NazevDokumentu>
    <JID xmlns="b246a3c9-e8b6-4373-bafd-ef843f8c6aef">R_STCSPS_0019273</J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2.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2DED5119-2100-4897-A728-D9912634D221}">
  <ds:schemaRefs>
    <ds:schemaRef ds:uri="http://schemas.openxmlformats.org/officeDocument/2006/bibliography"/>
  </ds:schemaRefs>
</ds:datastoreItem>
</file>

<file path=customXml/itemProps4.xml><?xml version="1.0" encoding="utf-8"?>
<ds:datastoreItem xmlns:ds="http://schemas.openxmlformats.org/officeDocument/2006/customXml" ds:itemID="{E198F093-B77D-4B7D-9D5E-4693FC4F7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4861</Words>
  <Characters>28681</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48</cp:revision>
  <dcterms:created xsi:type="dcterms:W3CDTF">2020-05-07T07:58:00Z</dcterms:created>
  <dcterms:modified xsi:type="dcterms:W3CDTF">2021-07-16T14:43:00Z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